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86F" w:rsidRPr="0019486F" w:rsidRDefault="0019486F" w:rsidP="0017002D">
      <w:pPr>
        <w:pStyle w:val="Default"/>
        <w:jc w:val="center"/>
        <w:rPr>
          <w:sz w:val="23"/>
          <w:szCs w:val="23"/>
          <w:lang w:val="en-US"/>
        </w:rPr>
      </w:pPr>
      <w:r w:rsidRPr="0019486F">
        <w:rPr>
          <w:b/>
          <w:bCs/>
          <w:sz w:val="23"/>
          <w:szCs w:val="23"/>
          <w:lang w:val="en-US"/>
        </w:rPr>
        <w:t xml:space="preserve">Guidelines on joint thesis procedures for supervisors in </w:t>
      </w:r>
      <w:proofErr w:type="spellStart"/>
      <w:r>
        <w:rPr>
          <w:b/>
          <w:bCs/>
          <w:sz w:val="23"/>
          <w:szCs w:val="23"/>
          <w:lang w:val="en-US"/>
        </w:rPr>
        <w:t>AQFood</w:t>
      </w:r>
      <w:proofErr w:type="spellEnd"/>
      <w:r>
        <w:rPr>
          <w:b/>
          <w:bCs/>
          <w:sz w:val="23"/>
          <w:szCs w:val="23"/>
          <w:lang w:val="en-US"/>
        </w:rPr>
        <w:t xml:space="preserve"> </w:t>
      </w:r>
      <w:r w:rsidRPr="0019486F">
        <w:rPr>
          <w:b/>
          <w:bCs/>
          <w:sz w:val="23"/>
          <w:szCs w:val="23"/>
          <w:lang w:val="en-US"/>
        </w:rPr>
        <w:t xml:space="preserve">Master </w:t>
      </w:r>
      <w:proofErr w:type="spellStart"/>
      <w:r w:rsidRPr="0019486F">
        <w:rPr>
          <w:b/>
          <w:bCs/>
          <w:sz w:val="23"/>
          <w:szCs w:val="23"/>
          <w:lang w:val="en-US"/>
        </w:rPr>
        <w:t>Programmes</w:t>
      </w:r>
      <w:proofErr w:type="spellEnd"/>
      <w:r w:rsidR="0017002D">
        <w:rPr>
          <w:rStyle w:val="Fodnotehenvisning"/>
          <w:b/>
          <w:bCs/>
          <w:sz w:val="23"/>
          <w:szCs w:val="23"/>
          <w:lang w:val="en-US"/>
        </w:rPr>
        <w:footnoteReference w:id="1"/>
      </w:r>
    </w:p>
    <w:p w:rsidR="0019486F" w:rsidRDefault="0019486F" w:rsidP="0019486F">
      <w:pPr>
        <w:pStyle w:val="Default"/>
        <w:rPr>
          <w:sz w:val="20"/>
          <w:szCs w:val="20"/>
          <w:lang w:val="en-US"/>
        </w:rPr>
      </w:pPr>
    </w:p>
    <w:p w:rsidR="0019486F" w:rsidRPr="0019486F" w:rsidRDefault="0019486F" w:rsidP="0019486F">
      <w:pPr>
        <w:pStyle w:val="Default"/>
        <w:rPr>
          <w:sz w:val="20"/>
          <w:szCs w:val="20"/>
          <w:lang w:val="en-US"/>
        </w:rPr>
      </w:pPr>
      <w:r w:rsidRPr="0019486F">
        <w:rPr>
          <w:sz w:val="20"/>
          <w:szCs w:val="20"/>
          <w:lang w:val="en-US"/>
        </w:rPr>
        <w:t xml:space="preserve"> </w:t>
      </w:r>
    </w:p>
    <w:p w:rsidR="0019486F" w:rsidRPr="0019486F" w:rsidRDefault="0017002D" w:rsidP="0019486F">
      <w:pPr>
        <w:pStyle w:val="Default"/>
        <w:rPr>
          <w:sz w:val="20"/>
          <w:szCs w:val="20"/>
          <w:lang w:val="en-US"/>
        </w:rPr>
      </w:pPr>
      <w:proofErr w:type="spellStart"/>
      <w:r>
        <w:rPr>
          <w:b/>
          <w:bCs/>
          <w:sz w:val="20"/>
          <w:szCs w:val="20"/>
          <w:lang w:val="en-US"/>
        </w:rPr>
        <w:t>AQFood</w:t>
      </w:r>
      <w:proofErr w:type="spellEnd"/>
      <w:r w:rsidR="00B23318">
        <w:rPr>
          <w:b/>
          <w:bCs/>
          <w:sz w:val="20"/>
          <w:szCs w:val="20"/>
          <w:lang w:val="en-US"/>
        </w:rPr>
        <w:t xml:space="preserve"> Joint Master </w:t>
      </w:r>
      <w:proofErr w:type="spellStart"/>
      <w:r w:rsidR="00B23318">
        <w:rPr>
          <w:b/>
          <w:bCs/>
          <w:sz w:val="20"/>
          <w:szCs w:val="20"/>
          <w:lang w:val="en-US"/>
        </w:rPr>
        <w:t>Programme</w:t>
      </w:r>
      <w:proofErr w:type="spellEnd"/>
    </w:p>
    <w:p w:rsidR="0019486F" w:rsidRDefault="0019486F" w:rsidP="0019486F">
      <w:pPr>
        <w:pStyle w:val="Default"/>
        <w:rPr>
          <w:sz w:val="20"/>
          <w:szCs w:val="20"/>
          <w:lang w:val="en-US"/>
        </w:rPr>
      </w:pPr>
      <w:proofErr w:type="spellStart"/>
      <w:r>
        <w:rPr>
          <w:sz w:val="20"/>
          <w:szCs w:val="20"/>
          <w:lang w:val="en-US"/>
        </w:rPr>
        <w:t>AQFood</w:t>
      </w:r>
      <w:proofErr w:type="spellEnd"/>
      <w:r w:rsidRPr="0019486F">
        <w:rPr>
          <w:sz w:val="20"/>
          <w:szCs w:val="20"/>
          <w:lang w:val="en-US"/>
        </w:rPr>
        <w:t xml:space="preserve"> is a joint master </w:t>
      </w:r>
      <w:proofErr w:type="spellStart"/>
      <w:r w:rsidRPr="0019486F">
        <w:rPr>
          <w:sz w:val="20"/>
          <w:szCs w:val="20"/>
          <w:lang w:val="en-US"/>
        </w:rPr>
        <w:t>programme</w:t>
      </w:r>
      <w:proofErr w:type="spellEnd"/>
      <w:r w:rsidRPr="0019486F">
        <w:rPr>
          <w:sz w:val="20"/>
          <w:szCs w:val="20"/>
          <w:lang w:val="en-US"/>
        </w:rPr>
        <w:t xml:space="preserve"> offered by </w:t>
      </w:r>
      <w:r w:rsidR="00A9026B">
        <w:rPr>
          <w:sz w:val="20"/>
          <w:szCs w:val="20"/>
          <w:lang w:val="en-US"/>
        </w:rPr>
        <w:t>4</w:t>
      </w:r>
      <w:r>
        <w:rPr>
          <w:sz w:val="20"/>
          <w:szCs w:val="20"/>
          <w:lang w:val="en-US"/>
        </w:rPr>
        <w:t xml:space="preserve"> Nordic Universities and </w:t>
      </w:r>
      <w:r w:rsidRPr="0019486F">
        <w:rPr>
          <w:sz w:val="20"/>
          <w:szCs w:val="20"/>
          <w:lang w:val="en-US"/>
        </w:rPr>
        <w:t xml:space="preserve">is a full-time Master Degree </w:t>
      </w:r>
      <w:proofErr w:type="spellStart"/>
      <w:r w:rsidRPr="0019486F">
        <w:rPr>
          <w:sz w:val="20"/>
          <w:szCs w:val="20"/>
          <w:lang w:val="en-US"/>
        </w:rPr>
        <w:t>Programme</w:t>
      </w:r>
      <w:proofErr w:type="spellEnd"/>
      <w:r w:rsidRPr="0019486F">
        <w:rPr>
          <w:sz w:val="20"/>
          <w:szCs w:val="20"/>
          <w:lang w:val="en-US"/>
        </w:rPr>
        <w:t xml:space="preserve"> with duration of two years. </w:t>
      </w:r>
    </w:p>
    <w:p w:rsidR="0019486F" w:rsidRPr="0019486F" w:rsidRDefault="0019486F" w:rsidP="0019486F">
      <w:pPr>
        <w:pStyle w:val="Default"/>
        <w:rPr>
          <w:sz w:val="20"/>
          <w:szCs w:val="20"/>
          <w:lang w:val="en-US"/>
        </w:rPr>
      </w:pPr>
    </w:p>
    <w:p w:rsidR="0019486F" w:rsidRDefault="0019486F" w:rsidP="0019486F">
      <w:pPr>
        <w:pStyle w:val="Default"/>
        <w:rPr>
          <w:sz w:val="20"/>
          <w:szCs w:val="20"/>
          <w:lang w:val="en-US"/>
        </w:rPr>
      </w:pPr>
      <w:r w:rsidRPr="0019486F">
        <w:rPr>
          <w:sz w:val="20"/>
          <w:szCs w:val="20"/>
          <w:lang w:val="en-US"/>
        </w:rPr>
        <w:t>During these two years, students will study at two of the five Nordic partner universities:</w:t>
      </w:r>
    </w:p>
    <w:p w:rsidR="0019486F" w:rsidRPr="0019486F" w:rsidRDefault="0019486F" w:rsidP="0019486F">
      <w:pPr>
        <w:pStyle w:val="Default"/>
        <w:rPr>
          <w:sz w:val="20"/>
          <w:szCs w:val="20"/>
          <w:lang w:val="en-US"/>
        </w:rPr>
      </w:pPr>
      <w:r w:rsidRPr="0019486F">
        <w:rPr>
          <w:sz w:val="20"/>
          <w:szCs w:val="20"/>
          <w:lang w:val="en-US"/>
        </w:rPr>
        <w:t xml:space="preserve"> </w:t>
      </w:r>
    </w:p>
    <w:p w:rsidR="0019486F" w:rsidRPr="0019486F" w:rsidRDefault="0019486F" w:rsidP="0019486F">
      <w:pPr>
        <w:pStyle w:val="Default"/>
        <w:rPr>
          <w:sz w:val="20"/>
          <w:szCs w:val="20"/>
          <w:lang w:val="en-US"/>
        </w:rPr>
      </w:pPr>
      <w:r w:rsidRPr="0019486F">
        <w:rPr>
          <w:sz w:val="20"/>
          <w:szCs w:val="20"/>
          <w:lang w:val="en-US"/>
        </w:rPr>
        <w:t xml:space="preserve">• </w:t>
      </w:r>
      <w:r>
        <w:rPr>
          <w:sz w:val="20"/>
          <w:szCs w:val="20"/>
          <w:lang w:val="en-US"/>
        </w:rPr>
        <w:t>University of Iceland, Iceland (</w:t>
      </w:r>
      <w:proofErr w:type="spellStart"/>
      <w:r>
        <w:rPr>
          <w:sz w:val="20"/>
          <w:szCs w:val="20"/>
          <w:lang w:val="en-US"/>
        </w:rPr>
        <w:t>UoI</w:t>
      </w:r>
      <w:proofErr w:type="spellEnd"/>
      <w:r>
        <w:rPr>
          <w:sz w:val="20"/>
          <w:szCs w:val="20"/>
          <w:lang w:val="en-US"/>
        </w:rPr>
        <w:t>)</w:t>
      </w:r>
      <w:r w:rsidRPr="0019486F">
        <w:rPr>
          <w:sz w:val="20"/>
          <w:szCs w:val="20"/>
          <w:lang w:val="en-US"/>
        </w:rPr>
        <w:t xml:space="preserve"> </w:t>
      </w:r>
    </w:p>
    <w:p w:rsidR="0019486F" w:rsidRDefault="0019486F" w:rsidP="0019486F">
      <w:pPr>
        <w:pStyle w:val="Default"/>
        <w:rPr>
          <w:sz w:val="20"/>
          <w:szCs w:val="20"/>
          <w:lang w:val="en-US"/>
        </w:rPr>
      </w:pPr>
      <w:r w:rsidRPr="0019486F">
        <w:rPr>
          <w:sz w:val="20"/>
          <w:szCs w:val="20"/>
          <w:lang w:val="en-US"/>
        </w:rPr>
        <w:t xml:space="preserve">• The Technical University of Denmark (DTU) </w:t>
      </w:r>
    </w:p>
    <w:p w:rsidR="0019486F" w:rsidRDefault="0019486F" w:rsidP="0019486F">
      <w:pPr>
        <w:pStyle w:val="Default"/>
        <w:rPr>
          <w:sz w:val="20"/>
          <w:szCs w:val="20"/>
          <w:lang w:val="en-US"/>
        </w:rPr>
      </w:pPr>
      <w:r w:rsidRPr="0019486F">
        <w:rPr>
          <w:sz w:val="20"/>
          <w:szCs w:val="20"/>
          <w:lang w:val="en-US"/>
        </w:rPr>
        <w:t xml:space="preserve">• </w:t>
      </w:r>
      <w:r w:rsidR="00B23318" w:rsidRPr="0019486F">
        <w:rPr>
          <w:sz w:val="20"/>
          <w:szCs w:val="20"/>
          <w:lang w:val="en-US"/>
        </w:rPr>
        <w:t xml:space="preserve">Norwegian University of </w:t>
      </w:r>
      <w:r w:rsidR="00B23318">
        <w:rPr>
          <w:sz w:val="20"/>
          <w:szCs w:val="20"/>
          <w:lang w:val="en-US"/>
        </w:rPr>
        <w:t>Life Science</w:t>
      </w:r>
      <w:r w:rsidR="00B23318" w:rsidRPr="0019486F">
        <w:rPr>
          <w:sz w:val="20"/>
          <w:szCs w:val="20"/>
          <w:lang w:val="en-US"/>
        </w:rPr>
        <w:t xml:space="preserve"> (N</w:t>
      </w:r>
      <w:r w:rsidR="00B23318">
        <w:rPr>
          <w:sz w:val="20"/>
          <w:szCs w:val="20"/>
          <w:lang w:val="en-US"/>
        </w:rPr>
        <w:t>MBU</w:t>
      </w:r>
      <w:r w:rsidR="00B23318" w:rsidRPr="0019486F">
        <w:rPr>
          <w:sz w:val="20"/>
          <w:szCs w:val="20"/>
          <w:lang w:val="en-US"/>
        </w:rPr>
        <w:t>)</w:t>
      </w:r>
    </w:p>
    <w:p w:rsidR="0019486F" w:rsidRPr="0019486F" w:rsidRDefault="0019486F" w:rsidP="0019486F">
      <w:pPr>
        <w:pStyle w:val="Default"/>
        <w:rPr>
          <w:sz w:val="20"/>
          <w:szCs w:val="20"/>
          <w:lang w:val="en-US"/>
        </w:rPr>
      </w:pPr>
      <w:r w:rsidRPr="0019486F">
        <w:rPr>
          <w:sz w:val="20"/>
          <w:szCs w:val="20"/>
          <w:lang w:val="en-US"/>
        </w:rPr>
        <w:t xml:space="preserve">• The Norwegian University of Science and Technology (NTNU) </w:t>
      </w:r>
    </w:p>
    <w:p w:rsidR="0019486F" w:rsidRDefault="0019486F" w:rsidP="0019486F">
      <w:pPr>
        <w:pStyle w:val="Default"/>
        <w:rPr>
          <w:sz w:val="20"/>
          <w:szCs w:val="20"/>
          <w:lang w:val="en-US"/>
        </w:rPr>
      </w:pPr>
    </w:p>
    <w:p w:rsidR="0019486F" w:rsidRPr="0019486F" w:rsidRDefault="0019486F" w:rsidP="0019486F">
      <w:pPr>
        <w:pStyle w:val="Default"/>
        <w:rPr>
          <w:sz w:val="20"/>
          <w:szCs w:val="20"/>
          <w:lang w:val="en-US"/>
        </w:rPr>
      </w:pPr>
      <w:r>
        <w:rPr>
          <w:sz w:val="20"/>
          <w:szCs w:val="20"/>
          <w:lang w:val="en-US"/>
        </w:rPr>
        <w:t>This j</w:t>
      </w:r>
      <w:r w:rsidRPr="0019486F">
        <w:rPr>
          <w:sz w:val="20"/>
          <w:szCs w:val="20"/>
          <w:lang w:val="en-US"/>
        </w:rPr>
        <w:t>oint N</w:t>
      </w:r>
      <w:r>
        <w:rPr>
          <w:sz w:val="20"/>
          <w:szCs w:val="20"/>
          <w:lang w:val="en-US"/>
        </w:rPr>
        <w:t xml:space="preserve">ordic </w:t>
      </w:r>
      <w:r w:rsidRPr="0019486F">
        <w:rPr>
          <w:sz w:val="20"/>
          <w:szCs w:val="20"/>
          <w:lang w:val="en-US"/>
        </w:rPr>
        <w:t xml:space="preserve">Master </w:t>
      </w:r>
      <w:proofErr w:type="spellStart"/>
      <w:r w:rsidRPr="0019486F">
        <w:rPr>
          <w:sz w:val="20"/>
          <w:szCs w:val="20"/>
          <w:lang w:val="en-US"/>
        </w:rPr>
        <w:t>Programme</w:t>
      </w:r>
      <w:proofErr w:type="spellEnd"/>
      <w:r w:rsidRPr="0019486F">
        <w:rPr>
          <w:sz w:val="20"/>
          <w:szCs w:val="20"/>
          <w:lang w:val="en-US"/>
        </w:rPr>
        <w:t xml:space="preserve"> </w:t>
      </w:r>
      <w:r>
        <w:rPr>
          <w:sz w:val="20"/>
          <w:szCs w:val="20"/>
          <w:lang w:val="en-US"/>
        </w:rPr>
        <w:t xml:space="preserve">is </w:t>
      </w:r>
      <w:r w:rsidRPr="0019486F">
        <w:rPr>
          <w:sz w:val="20"/>
          <w:szCs w:val="20"/>
          <w:lang w:val="en-US"/>
        </w:rPr>
        <w:t xml:space="preserve">designed as </w:t>
      </w:r>
      <w:r w:rsidR="0099514D">
        <w:rPr>
          <w:sz w:val="20"/>
          <w:szCs w:val="20"/>
          <w:lang w:val="en-US"/>
        </w:rPr>
        <w:t xml:space="preserve">a </w:t>
      </w:r>
      <w:r w:rsidRPr="0019486F">
        <w:rPr>
          <w:sz w:val="20"/>
          <w:szCs w:val="20"/>
          <w:lang w:val="en-US"/>
        </w:rPr>
        <w:t xml:space="preserve">double degree </w:t>
      </w:r>
      <w:proofErr w:type="spellStart"/>
      <w:r w:rsidRPr="0019486F">
        <w:rPr>
          <w:sz w:val="20"/>
          <w:szCs w:val="20"/>
          <w:lang w:val="en-US"/>
        </w:rPr>
        <w:t>programme</w:t>
      </w:r>
      <w:proofErr w:type="spellEnd"/>
      <w:r w:rsidRPr="0019486F">
        <w:rPr>
          <w:sz w:val="20"/>
          <w:szCs w:val="20"/>
          <w:lang w:val="en-US"/>
        </w:rPr>
        <w:t xml:space="preserve">. </w:t>
      </w:r>
    </w:p>
    <w:p w:rsidR="0019486F" w:rsidRDefault="0019486F" w:rsidP="0019486F">
      <w:pPr>
        <w:pStyle w:val="Default"/>
        <w:rPr>
          <w:b/>
          <w:bCs/>
          <w:sz w:val="20"/>
          <w:szCs w:val="20"/>
          <w:lang w:val="en-US"/>
        </w:rPr>
      </w:pPr>
    </w:p>
    <w:p w:rsidR="0019486F" w:rsidRPr="0019486F" w:rsidRDefault="0019486F" w:rsidP="0019486F">
      <w:pPr>
        <w:pStyle w:val="Default"/>
        <w:rPr>
          <w:sz w:val="20"/>
          <w:szCs w:val="20"/>
          <w:lang w:val="en-US"/>
        </w:rPr>
      </w:pPr>
      <w:r w:rsidRPr="0019486F">
        <w:rPr>
          <w:b/>
          <w:bCs/>
          <w:sz w:val="20"/>
          <w:szCs w:val="20"/>
          <w:lang w:val="en-US"/>
        </w:rPr>
        <w:t xml:space="preserve">Joint thesis procedure </w:t>
      </w:r>
    </w:p>
    <w:p w:rsidR="0017002D" w:rsidRDefault="0019486F" w:rsidP="0019486F">
      <w:pPr>
        <w:pStyle w:val="Default"/>
        <w:rPr>
          <w:sz w:val="20"/>
          <w:szCs w:val="20"/>
          <w:lang w:val="en-US"/>
        </w:rPr>
      </w:pPr>
      <w:r w:rsidRPr="0019486F">
        <w:rPr>
          <w:sz w:val="20"/>
          <w:szCs w:val="20"/>
          <w:lang w:val="en-US"/>
        </w:rPr>
        <w:t xml:space="preserve">The thesis is usually written during the fourth (=spring) semester of the two year </w:t>
      </w:r>
      <w:proofErr w:type="spellStart"/>
      <w:r w:rsidR="0099514D">
        <w:rPr>
          <w:sz w:val="20"/>
          <w:szCs w:val="20"/>
          <w:lang w:val="en-US"/>
        </w:rPr>
        <w:t>programme</w:t>
      </w:r>
      <w:proofErr w:type="spellEnd"/>
      <w:r w:rsidRPr="0019486F">
        <w:rPr>
          <w:sz w:val="20"/>
          <w:szCs w:val="20"/>
          <w:lang w:val="en-US"/>
        </w:rPr>
        <w:t xml:space="preserve">. This </w:t>
      </w:r>
      <w:proofErr w:type="spellStart"/>
      <w:r w:rsidRPr="0019486F">
        <w:rPr>
          <w:sz w:val="20"/>
          <w:szCs w:val="20"/>
          <w:lang w:val="en-US"/>
        </w:rPr>
        <w:t>programme</w:t>
      </w:r>
      <w:proofErr w:type="spellEnd"/>
      <w:r w:rsidRPr="0019486F">
        <w:rPr>
          <w:sz w:val="20"/>
          <w:szCs w:val="20"/>
          <w:lang w:val="en-US"/>
        </w:rPr>
        <w:t xml:space="preserve"> has agreed on joint supervision of thesis which means that there are always two supervisors for the thesis</w:t>
      </w:r>
      <w:r w:rsidR="0099514D">
        <w:rPr>
          <w:sz w:val="20"/>
          <w:szCs w:val="20"/>
          <w:lang w:val="en-US"/>
        </w:rPr>
        <w:t xml:space="preserve"> – one </w:t>
      </w:r>
      <w:r w:rsidRPr="0019486F">
        <w:rPr>
          <w:sz w:val="20"/>
          <w:szCs w:val="20"/>
          <w:lang w:val="en-US"/>
        </w:rPr>
        <w:t xml:space="preserve">from </w:t>
      </w:r>
      <w:r w:rsidR="0099514D">
        <w:rPr>
          <w:sz w:val="20"/>
          <w:szCs w:val="20"/>
          <w:lang w:val="en-US"/>
        </w:rPr>
        <w:t xml:space="preserve">each of </w:t>
      </w:r>
      <w:r w:rsidRPr="0019486F">
        <w:rPr>
          <w:sz w:val="20"/>
          <w:szCs w:val="20"/>
          <w:lang w:val="en-US"/>
        </w:rPr>
        <w:t xml:space="preserve">the two universities. The local rules for supervision and evaluation of thesis differentiate. </w:t>
      </w:r>
    </w:p>
    <w:p w:rsidR="0017002D" w:rsidRDefault="0019486F" w:rsidP="0019486F">
      <w:pPr>
        <w:pStyle w:val="Default"/>
        <w:rPr>
          <w:sz w:val="20"/>
          <w:szCs w:val="20"/>
          <w:lang w:val="en-US"/>
        </w:rPr>
      </w:pPr>
      <w:r w:rsidRPr="0019486F">
        <w:rPr>
          <w:sz w:val="20"/>
          <w:szCs w:val="20"/>
          <w:lang w:val="en-US"/>
        </w:rPr>
        <w:t xml:space="preserve">Building up a joint </w:t>
      </w:r>
      <w:proofErr w:type="spellStart"/>
      <w:r w:rsidRPr="0019486F">
        <w:rPr>
          <w:sz w:val="20"/>
          <w:szCs w:val="20"/>
          <w:lang w:val="en-US"/>
        </w:rPr>
        <w:t>programme</w:t>
      </w:r>
      <w:proofErr w:type="spellEnd"/>
      <w:r w:rsidRPr="0019486F">
        <w:rPr>
          <w:sz w:val="20"/>
          <w:szCs w:val="20"/>
          <w:lang w:val="en-US"/>
        </w:rPr>
        <w:t xml:space="preserve"> across institutions is very challenging and these guidelines are prepared to support the academic and administrative staff involved in the joint thesis procedure and in order to ensure a smooth graduation process. The </w:t>
      </w:r>
      <w:proofErr w:type="spellStart"/>
      <w:r w:rsidRPr="0019486F">
        <w:rPr>
          <w:sz w:val="20"/>
          <w:szCs w:val="20"/>
          <w:lang w:val="en-US"/>
        </w:rPr>
        <w:t>programme</w:t>
      </w:r>
      <w:proofErr w:type="spellEnd"/>
      <w:r w:rsidRPr="0019486F">
        <w:rPr>
          <w:sz w:val="20"/>
          <w:szCs w:val="20"/>
          <w:lang w:val="en-US"/>
        </w:rPr>
        <w:t xml:space="preserve"> strives to fulfil the expectations of the </w:t>
      </w:r>
      <w:proofErr w:type="spellStart"/>
      <w:r w:rsidR="0017002D">
        <w:rPr>
          <w:sz w:val="20"/>
          <w:szCs w:val="20"/>
          <w:lang w:val="en-US"/>
        </w:rPr>
        <w:t>AQFood</w:t>
      </w:r>
      <w:proofErr w:type="spellEnd"/>
      <w:r w:rsidR="0017002D">
        <w:rPr>
          <w:sz w:val="20"/>
          <w:szCs w:val="20"/>
          <w:lang w:val="en-US"/>
        </w:rPr>
        <w:t xml:space="preserve"> </w:t>
      </w:r>
      <w:r w:rsidRPr="0019486F">
        <w:rPr>
          <w:sz w:val="20"/>
          <w:szCs w:val="20"/>
          <w:lang w:val="en-US"/>
        </w:rPr>
        <w:t xml:space="preserve">university alliance regarding the length of the </w:t>
      </w:r>
      <w:proofErr w:type="spellStart"/>
      <w:r w:rsidRPr="0019486F">
        <w:rPr>
          <w:sz w:val="20"/>
          <w:szCs w:val="20"/>
          <w:lang w:val="en-US"/>
        </w:rPr>
        <w:t>programme</w:t>
      </w:r>
      <w:proofErr w:type="spellEnd"/>
      <w:r w:rsidRPr="0019486F">
        <w:rPr>
          <w:sz w:val="20"/>
          <w:szCs w:val="20"/>
          <w:lang w:val="en-US"/>
        </w:rPr>
        <w:t xml:space="preserve"> (2 year Master-</w:t>
      </w:r>
      <w:proofErr w:type="spellStart"/>
      <w:r w:rsidRPr="0019486F">
        <w:rPr>
          <w:sz w:val="20"/>
          <w:szCs w:val="20"/>
          <w:lang w:val="en-US"/>
        </w:rPr>
        <w:t>programme</w:t>
      </w:r>
      <w:proofErr w:type="spellEnd"/>
      <w:r w:rsidRPr="0019486F">
        <w:rPr>
          <w:sz w:val="20"/>
          <w:szCs w:val="20"/>
          <w:lang w:val="en-US"/>
        </w:rPr>
        <w:t xml:space="preserve">) and therefore, it is a goal to complete the graduation of the students in time. </w:t>
      </w:r>
    </w:p>
    <w:p w:rsidR="0019486F" w:rsidRPr="0019486F" w:rsidRDefault="0019486F" w:rsidP="0019486F">
      <w:pPr>
        <w:pStyle w:val="Default"/>
        <w:rPr>
          <w:sz w:val="20"/>
          <w:szCs w:val="20"/>
          <w:lang w:val="en-US"/>
        </w:rPr>
      </w:pPr>
      <w:r w:rsidRPr="0019486F">
        <w:rPr>
          <w:sz w:val="20"/>
          <w:szCs w:val="20"/>
          <w:lang w:val="en-US"/>
        </w:rPr>
        <w:t xml:space="preserve">For this reason the evaluation of thesis should be completed in August at the latest. </w:t>
      </w:r>
    </w:p>
    <w:p w:rsidR="0017002D" w:rsidRDefault="0017002D" w:rsidP="0019486F">
      <w:pPr>
        <w:pStyle w:val="Default"/>
        <w:rPr>
          <w:b/>
          <w:bCs/>
          <w:sz w:val="20"/>
          <w:szCs w:val="20"/>
          <w:lang w:val="en-US"/>
        </w:rPr>
      </w:pPr>
    </w:p>
    <w:p w:rsidR="0019486F" w:rsidRPr="0019486F" w:rsidRDefault="0019486F" w:rsidP="0019486F">
      <w:pPr>
        <w:pStyle w:val="Default"/>
        <w:rPr>
          <w:sz w:val="20"/>
          <w:szCs w:val="20"/>
          <w:lang w:val="en-US"/>
        </w:rPr>
      </w:pPr>
      <w:r w:rsidRPr="0019486F">
        <w:rPr>
          <w:b/>
          <w:bCs/>
          <w:sz w:val="20"/>
          <w:szCs w:val="20"/>
          <w:lang w:val="en-US"/>
        </w:rPr>
        <w:t xml:space="preserve">Supervision and Assessment </w:t>
      </w:r>
    </w:p>
    <w:p w:rsidR="0019486F" w:rsidRPr="0019486F" w:rsidRDefault="0019486F" w:rsidP="0019486F">
      <w:pPr>
        <w:pStyle w:val="Default"/>
        <w:rPr>
          <w:sz w:val="20"/>
          <w:szCs w:val="20"/>
          <w:lang w:val="en-US"/>
        </w:rPr>
      </w:pPr>
      <w:r w:rsidRPr="0019486F">
        <w:rPr>
          <w:sz w:val="20"/>
          <w:szCs w:val="20"/>
          <w:lang w:val="en-US"/>
        </w:rPr>
        <w:t xml:space="preserve">When involved in supervision on joint thesis work, supervisors are recommended to </w:t>
      </w:r>
      <w:r w:rsidR="0099514D">
        <w:rPr>
          <w:sz w:val="20"/>
          <w:szCs w:val="20"/>
          <w:lang w:val="en-US"/>
        </w:rPr>
        <w:t>adhere to</w:t>
      </w:r>
      <w:r w:rsidRPr="0019486F">
        <w:rPr>
          <w:sz w:val="20"/>
          <w:szCs w:val="20"/>
          <w:lang w:val="en-US"/>
        </w:rPr>
        <w:t xml:space="preserve"> the following </w:t>
      </w:r>
      <w:proofErr w:type="gramStart"/>
      <w:r w:rsidRPr="0019486F">
        <w:rPr>
          <w:sz w:val="20"/>
          <w:szCs w:val="20"/>
          <w:lang w:val="en-US"/>
        </w:rPr>
        <w:t>principles</w:t>
      </w:r>
      <w:proofErr w:type="gramEnd"/>
      <w:r w:rsidRPr="0019486F">
        <w:rPr>
          <w:sz w:val="20"/>
          <w:szCs w:val="20"/>
          <w:lang w:val="en-US"/>
        </w:rPr>
        <w:t xml:space="preserve"> regarding thesis supervision and assessment: </w:t>
      </w:r>
    </w:p>
    <w:p w:rsidR="0017002D" w:rsidRDefault="0017002D" w:rsidP="0019486F">
      <w:pPr>
        <w:pStyle w:val="Default"/>
        <w:rPr>
          <w:b/>
          <w:bCs/>
          <w:sz w:val="20"/>
          <w:szCs w:val="20"/>
          <w:lang w:val="en-US"/>
        </w:rPr>
      </w:pPr>
    </w:p>
    <w:p w:rsidR="0019486F" w:rsidRPr="0019486F" w:rsidRDefault="0019486F" w:rsidP="0019486F">
      <w:pPr>
        <w:pStyle w:val="Default"/>
        <w:rPr>
          <w:sz w:val="20"/>
          <w:szCs w:val="20"/>
          <w:lang w:val="en-US"/>
        </w:rPr>
      </w:pPr>
      <w:r w:rsidRPr="0019486F">
        <w:rPr>
          <w:b/>
          <w:bCs/>
          <w:sz w:val="20"/>
          <w:szCs w:val="20"/>
          <w:lang w:val="en-US"/>
        </w:rPr>
        <w:t xml:space="preserve">Supervision </w:t>
      </w:r>
    </w:p>
    <w:p w:rsidR="00B23318" w:rsidRDefault="0019486F" w:rsidP="0019486F">
      <w:pPr>
        <w:pStyle w:val="Default"/>
        <w:rPr>
          <w:sz w:val="20"/>
          <w:szCs w:val="20"/>
          <w:lang w:val="en-US"/>
        </w:rPr>
      </w:pPr>
      <w:r w:rsidRPr="0019486F">
        <w:rPr>
          <w:sz w:val="20"/>
          <w:szCs w:val="20"/>
          <w:lang w:val="en-US"/>
        </w:rPr>
        <w:t>The thesis will be supervised by University 1 and University 2 according to the local procedures and regulations of the respective institutions. The intention of</w:t>
      </w:r>
      <w:r w:rsidR="0099514D">
        <w:rPr>
          <w:sz w:val="20"/>
          <w:szCs w:val="20"/>
          <w:lang w:val="en-US"/>
        </w:rPr>
        <w:t xml:space="preserve"> the </w:t>
      </w:r>
      <w:proofErr w:type="spellStart"/>
      <w:r w:rsidR="0017002D">
        <w:rPr>
          <w:sz w:val="20"/>
          <w:szCs w:val="20"/>
          <w:lang w:val="en-US"/>
        </w:rPr>
        <w:t>AQFood</w:t>
      </w:r>
      <w:proofErr w:type="spellEnd"/>
      <w:r w:rsidR="0017002D">
        <w:rPr>
          <w:sz w:val="20"/>
          <w:szCs w:val="20"/>
          <w:lang w:val="en-US"/>
        </w:rPr>
        <w:t xml:space="preserve"> Master </w:t>
      </w:r>
      <w:proofErr w:type="spellStart"/>
      <w:r w:rsidRPr="0019486F">
        <w:rPr>
          <w:sz w:val="20"/>
          <w:szCs w:val="20"/>
          <w:lang w:val="en-US"/>
        </w:rPr>
        <w:t>programmes</w:t>
      </w:r>
      <w:proofErr w:type="spellEnd"/>
      <w:r w:rsidRPr="0019486F">
        <w:rPr>
          <w:sz w:val="20"/>
          <w:szCs w:val="20"/>
          <w:lang w:val="en-US"/>
        </w:rPr>
        <w:t xml:space="preserve"> is that both supervisors communicate and collaborate regularly on the supervision in order to ensure an integrated learning outcome for the student, combining learning from both the first and the second year of study. </w:t>
      </w:r>
    </w:p>
    <w:p w:rsidR="0017002D" w:rsidRPr="00B23318" w:rsidRDefault="0017002D" w:rsidP="0019486F">
      <w:pPr>
        <w:pStyle w:val="Default"/>
        <w:rPr>
          <w:sz w:val="20"/>
          <w:szCs w:val="20"/>
          <w:u w:val="single"/>
          <w:lang w:val="en-US"/>
        </w:rPr>
      </w:pPr>
      <w:r w:rsidRPr="00B23318">
        <w:rPr>
          <w:sz w:val="20"/>
          <w:szCs w:val="20"/>
          <w:u w:val="single"/>
          <w:lang w:val="en-US"/>
        </w:rPr>
        <w:t xml:space="preserve">As a </w:t>
      </w:r>
      <w:r w:rsidR="0099514D">
        <w:rPr>
          <w:sz w:val="20"/>
          <w:szCs w:val="20"/>
          <w:u w:val="single"/>
          <w:lang w:val="en-US"/>
        </w:rPr>
        <w:t xml:space="preserve">general </w:t>
      </w:r>
      <w:r w:rsidRPr="00B23318">
        <w:rPr>
          <w:sz w:val="20"/>
          <w:szCs w:val="20"/>
          <w:u w:val="single"/>
          <w:lang w:val="en-US"/>
        </w:rPr>
        <w:t xml:space="preserve">rule a member of </w:t>
      </w:r>
      <w:r w:rsidR="0099514D">
        <w:rPr>
          <w:sz w:val="20"/>
          <w:szCs w:val="20"/>
          <w:u w:val="single"/>
          <w:lang w:val="en-US"/>
        </w:rPr>
        <w:t xml:space="preserve">the </w:t>
      </w:r>
      <w:proofErr w:type="spellStart"/>
      <w:r w:rsidRPr="00B23318">
        <w:rPr>
          <w:sz w:val="20"/>
          <w:szCs w:val="20"/>
          <w:u w:val="single"/>
          <w:lang w:val="en-US"/>
        </w:rPr>
        <w:t>AQFood</w:t>
      </w:r>
      <w:proofErr w:type="spellEnd"/>
      <w:r w:rsidRPr="00B23318">
        <w:rPr>
          <w:sz w:val="20"/>
          <w:szCs w:val="20"/>
          <w:u w:val="single"/>
          <w:lang w:val="en-US"/>
        </w:rPr>
        <w:t xml:space="preserve"> consortium </w:t>
      </w:r>
      <w:r w:rsidR="00B23318" w:rsidRPr="00B23318">
        <w:rPr>
          <w:sz w:val="20"/>
          <w:szCs w:val="20"/>
          <w:u w:val="single"/>
          <w:lang w:val="en-US"/>
        </w:rPr>
        <w:t xml:space="preserve">if they are not main supervisor of the thesis must be </w:t>
      </w:r>
      <w:r w:rsidRPr="00B23318">
        <w:rPr>
          <w:sz w:val="20"/>
          <w:szCs w:val="20"/>
          <w:u w:val="single"/>
          <w:lang w:val="en-US"/>
        </w:rPr>
        <w:t xml:space="preserve">involved </w:t>
      </w:r>
      <w:r w:rsidR="00B23318">
        <w:rPr>
          <w:sz w:val="20"/>
          <w:szCs w:val="20"/>
          <w:u w:val="single"/>
          <w:lang w:val="en-US"/>
        </w:rPr>
        <w:t xml:space="preserve">as a </w:t>
      </w:r>
      <w:proofErr w:type="spellStart"/>
      <w:r w:rsidR="00B23318">
        <w:rPr>
          <w:sz w:val="20"/>
          <w:szCs w:val="20"/>
          <w:u w:val="single"/>
          <w:lang w:val="en-US"/>
        </w:rPr>
        <w:t>co</w:t>
      </w:r>
      <w:r w:rsidRPr="00B23318">
        <w:rPr>
          <w:sz w:val="20"/>
          <w:szCs w:val="20"/>
          <w:u w:val="single"/>
          <w:lang w:val="en-US"/>
        </w:rPr>
        <w:t>supervisor</w:t>
      </w:r>
      <w:proofErr w:type="spellEnd"/>
      <w:r w:rsidRPr="00B23318">
        <w:rPr>
          <w:sz w:val="20"/>
          <w:szCs w:val="20"/>
          <w:u w:val="single"/>
          <w:lang w:val="en-US"/>
        </w:rPr>
        <w:t xml:space="preserve"> on the thesis. </w:t>
      </w:r>
    </w:p>
    <w:p w:rsidR="0019486F" w:rsidRPr="0019486F" w:rsidRDefault="0019486F" w:rsidP="0019486F">
      <w:pPr>
        <w:pStyle w:val="Default"/>
        <w:rPr>
          <w:sz w:val="20"/>
          <w:szCs w:val="20"/>
          <w:lang w:val="en-US"/>
        </w:rPr>
      </w:pPr>
      <w:r w:rsidRPr="0019486F">
        <w:rPr>
          <w:sz w:val="20"/>
          <w:szCs w:val="20"/>
          <w:lang w:val="en-US"/>
        </w:rPr>
        <w:t xml:space="preserve">The student is responsible of keeping supervisors updated of the progress of the thesis. The main </w:t>
      </w:r>
      <w:r w:rsidR="00B23318">
        <w:rPr>
          <w:sz w:val="20"/>
          <w:szCs w:val="20"/>
          <w:lang w:val="en-US"/>
        </w:rPr>
        <w:t>s</w:t>
      </w:r>
      <w:r w:rsidRPr="0019486F">
        <w:rPr>
          <w:sz w:val="20"/>
          <w:szCs w:val="20"/>
          <w:lang w:val="en-US"/>
        </w:rPr>
        <w:t xml:space="preserve">upervisor or the local </w:t>
      </w:r>
      <w:proofErr w:type="spellStart"/>
      <w:r w:rsidRPr="0019486F">
        <w:rPr>
          <w:sz w:val="20"/>
          <w:szCs w:val="20"/>
          <w:lang w:val="en-US"/>
        </w:rPr>
        <w:t>programme</w:t>
      </w:r>
      <w:proofErr w:type="spellEnd"/>
      <w:r w:rsidRPr="0019486F">
        <w:rPr>
          <w:sz w:val="20"/>
          <w:szCs w:val="20"/>
          <w:lang w:val="en-US"/>
        </w:rPr>
        <w:t xml:space="preserve"> coordinator is responsible of keeping the </w:t>
      </w:r>
      <w:proofErr w:type="spellStart"/>
      <w:r w:rsidRPr="0019486F">
        <w:rPr>
          <w:sz w:val="20"/>
          <w:szCs w:val="20"/>
          <w:lang w:val="en-US"/>
        </w:rPr>
        <w:t>programme</w:t>
      </w:r>
      <w:proofErr w:type="spellEnd"/>
      <w:r w:rsidRPr="0019486F">
        <w:rPr>
          <w:sz w:val="20"/>
          <w:szCs w:val="20"/>
          <w:lang w:val="en-US"/>
        </w:rPr>
        <w:t xml:space="preserve"> coordinator updated on the students’ progress. It is recommended to discuss expectations for supervision </w:t>
      </w:r>
      <w:r w:rsidR="0099514D">
        <w:rPr>
          <w:sz w:val="20"/>
          <w:szCs w:val="20"/>
          <w:lang w:val="en-US"/>
        </w:rPr>
        <w:t>of</w:t>
      </w:r>
      <w:r w:rsidRPr="0019486F">
        <w:rPr>
          <w:sz w:val="20"/>
          <w:szCs w:val="20"/>
          <w:lang w:val="en-US"/>
        </w:rPr>
        <w:t xml:space="preserve"> the two supervisors and their respective roles in the process and agree on a meeting schedule before starting the project. </w:t>
      </w:r>
    </w:p>
    <w:p w:rsidR="0017002D" w:rsidRDefault="0017002D" w:rsidP="0019486F">
      <w:pPr>
        <w:pStyle w:val="Default"/>
        <w:rPr>
          <w:b/>
          <w:bCs/>
          <w:sz w:val="20"/>
          <w:szCs w:val="20"/>
          <w:lang w:val="en-US"/>
        </w:rPr>
      </w:pPr>
    </w:p>
    <w:p w:rsidR="0019486F" w:rsidRPr="0019486F" w:rsidRDefault="0019486F" w:rsidP="0019486F">
      <w:pPr>
        <w:pStyle w:val="Default"/>
        <w:rPr>
          <w:sz w:val="20"/>
          <w:szCs w:val="20"/>
          <w:lang w:val="en-US"/>
        </w:rPr>
      </w:pPr>
      <w:r w:rsidRPr="0019486F">
        <w:rPr>
          <w:b/>
          <w:bCs/>
          <w:sz w:val="20"/>
          <w:szCs w:val="20"/>
          <w:lang w:val="en-US"/>
        </w:rPr>
        <w:t xml:space="preserve">Thesis agreement </w:t>
      </w:r>
    </w:p>
    <w:p w:rsidR="0019486F" w:rsidRPr="0019486F" w:rsidRDefault="0019486F" w:rsidP="0019486F">
      <w:pPr>
        <w:pStyle w:val="Default"/>
        <w:rPr>
          <w:sz w:val="20"/>
          <w:szCs w:val="20"/>
          <w:lang w:val="en-US"/>
        </w:rPr>
      </w:pPr>
      <w:r w:rsidRPr="0019486F">
        <w:rPr>
          <w:sz w:val="20"/>
          <w:szCs w:val="20"/>
          <w:lang w:val="en-US"/>
        </w:rPr>
        <w:t>Supervisors involved in a joint thesis procedure are advised to fill in a joint thesis agreement</w:t>
      </w:r>
      <w:r w:rsidRPr="0019486F">
        <w:rPr>
          <w:sz w:val="13"/>
          <w:szCs w:val="13"/>
          <w:lang w:val="en-US"/>
        </w:rPr>
        <w:t xml:space="preserve"> </w:t>
      </w:r>
      <w:r w:rsidRPr="0019486F">
        <w:rPr>
          <w:sz w:val="20"/>
          <w:szCs w:val="20"/>
          <w:lang w:val="en-US"/>
        </w:rPr>
        <w:t xml:space="preserve">in collaboration with the student and reach agreement on the following aspects: </w:t>
      </w:r>
    </w:p>
    <w:p w:rsidR="0017002D" w:rsidRDefault="0017002D" w:rsidP="0019486F">
      <w:pPr>
        <w:pStyle w:val="Default"/>
        <w:rPr>
          <w:i/>
          <w:iCs/>
          <w:sz w:val="20"/>
          <w:szCs w:val="20"/>
          <w:lang w:val="en-US"/>
        </w:rPr>
      </w:pPr>
    </w:p>
    <w:p w:rsidR="0019486F" w:rsidRPr="0019486F" w:rsidRDefault="0019486F" w:rsidP="0019486F">
      <w:pPr>
        <w:pStyle w:val="Default"/>
        <w:rPr>
          <w:sz w:val="20"/>
          <w:szCs w:val="20"/>
          <w:lang w:val="en-US"/>
        </w:rPr>
      </w:pPr>
      <w:r w:rsidRPr="0019486F">
        <w:rPr>
          <w:i/>
          <w:iCs/>
          <w:sz w:val="20"/>
          <w:szCs w:val="20"/>
          <w:lang w:val="en-US"/>
        </w:rPr>
        <w:t xml:space="preserve">Topic and method(s) applied </w:t>
      </w:r>
    </w:p>
    <w:p w:rsidR="0019486F" w:rsidRDefault="0019486F" w:rsidP="0019486F">
      <w:pPr>
        <w:pStyle w:val="Default"/>
        <w:rPr>
          <w:sz w:val="20"/>
          <w:szCs w:val="20"/>
          <w:lang w:val="en-US"/>
        </w:rPr>
      </w:pPr>
      <w:r w:rsidRPr="0019486F">
        <w:rPr>
          <w:sz w:val="20"/>
          <w:szCs w:val="20"/>
          <w:lang w:val="en-US"/>
        </w:rPr>
        <w:t xml:space="preserve">The topic and the method(s) applied must be agreed upon by both University 1 (first year of study) and University 2 (second year of study) professors as well as the </w:t>
      </w:r>
      <w:proofErr w:type="spellStart"/>
      <w:r w:rsidRPr="0019486F">
        <w:rPr>
          <w:sz w:val="20"/>
          <w:szCs w:val="20"/>
          <w:lang w:val="en-US"/>
        </w:rPr>
        <w:t>Programme</w:t>
      </w:r>
      <w:proofErr w:type="spellEnd"/>
      <w:r w:rsidRPr="0019486F">
        <w:rPr>
          <w:sz w:val="20"/>
          <w:szCs w:val="20"/>
          <w:lang w:val="en-US"/>
        </w:rPr>
        <w:t xml:space="preserve"> Board. </w:t>
      </w:r>
    </w:p>
    <w:p w:rsidR="0017002D" w:rsidRDefault="0017002D" w:rsidP="0019486F">
      <w:pPr>
        <w:pStyle w:val="Default"/>
        <w:rPr>
          <w:sz w:val="20"/>
          <w:szCs w:val="20"/>
          <w:lang w:val="en-US"/>
        </w:rPr>
      </w:pPr>
    </w:p>
    <w:p w:rsidR="0017002D" w:rsidRPr="0019486F" w:rsidRDefault="0017002D" w:rsidP="0019486F">
      <w:pPr>
        <w:pStyle w:val="Default"/>
        <w:rPr>
          <w:sz w:val="20"/>
          <w:szCs w:val="20"/>
          <w:lang w:val="en-US"/>
        </w:rPr>
      </w:pPr>
    </w:p>
    <w:p w:rsidR="0017002D" w:rsidRDefault="0017002D" w:rsidP="0019486F">
      <w:pPr>
        <w:pStyle w:val="Default"/>
        <w:rPr>
          <w:i/>
          <w:iCs/>
          <w:sz w:val="20"/>
          <w:szCs w:val="20"/>
          <w:lang w:val="en-US"/>
        </w:rPr>
      </w:pPr>
    </w:p>
    <w:p w:rsidR="0019486F" w:rsidRPr="0019486F" w:rsidRDefault="0019486F" w:rsidP="0019486F">
      <w:pPr>
        <w:pStyle w:val="Default"/>
        <w:rPr>
          <w:sz w:val="20"/>
          <w:szCs w:val="20"/>
          <w:lang w:val="en-US"/>
        </w:rPr>
      </w:pPr>
      <w:r w:rsidRPr="0019486F">
        <w:rPr>
          <w:i/>
          <w:iCs/>
          <w:sz w:val="20"/>
          <w:szCs w:val="20"/>
          <w:lang w:val="en-US"/>
        </w:rPr>
        <w:t xml:space="preserve">Roles </w:t>
      </w:r>
    </w:p>
    <w:p w:rsidR="0019486F" w:rsidRPr="0019486F" w:rsidRDefault="0019486F" w:rsidP="0019486F">
      <w:pPr>
        <w:pStyle w:val="Default"/>
        <w:rPr>
          <w:sz w:val="20"/>
          <w:szCs w:val="20"/>
          <w:lang w:val="en-US"/>
        </w:rPr>
      </w:pPr>
      <w:r w:rsidRPr="0019486F">
        <w:rPr>
          <w:sz w:val="20"/>
          <w:szCs w:val="20"/>
          <w:lang w:val="en-US"/>
        </w:rPr>
        <w:t>As a rule, a professor of the University 2 is the main supervisor</w:t>
      </w:r>
      <w:r w:rsidR="00657F41">
        <w:rPr>
          <w:sz w:val="20"/>
          <w:szCs w:val="20"/>
          <w:lang w:val="en-US"/>
        </w:rPr>
        <w:t>.</w:t>
      </w:r>
      <w:r w:rsidRPr="0019486F">
        <w:rPr>
          <w:sz w:val="20"/>
          <w:szCs w:val="20"/>
          <w:lang w:val="en-US"/>
        </w:rPr>
        <w:t xml:space="preserve"> The students and the supervisors must discuss expectations and agree on reporting procedures and a meeting schedule. </w:t>
      </w:r>
    </w:p>
    <w:p w:rsidR="0017002D" w:rsidRDefault="0017002D" w:rsidP="0019486F">
      <w:pPr>
        <w:pStyle w:val="Default"/>
        <w:rPr>
          <w:i/>
          <w:iCs/>
          <w:sz w:val="20"/>
          <w:szCs w:val="20"/>
          <w:lang w:val="en-US"/>
        </w:rPr>
      </w:pPr>
    </w:p>
    <w:p w:rsidR="0019486F" w:rsidRPr="0019486F" w:rsidRDefault="0019486F" w:rsidP="0019486F">
      <w:pPr>
        <w:pStyle w:val="Default"/>
        <w:rPr>
          <w:sz w:val="20"/>
          <w:szCs w:val="20"/>
          <w:lang w:val="en-US"/>
        </w:rPr>
      </w:pPr>
      <w:r w:rsidRPr="0019486F">
        <w:rPr>
          <w:i/>
          <w:iCs/>
          <w:sz w:val="20"/>
          <w:szCs w:val="20"/>
          <w:lang w:val="en-US"/>
        </w:rPr>
        <w:t xml:space="preserve">Timing </w:t>
      </w:r>
    </w:p>
    <w:p w:rsidR="0019486F" w:rsidRDefault="0019486F" w:rsidP="0019486F">
      <w:pPr>
        <w:pStyle w:val="Default"/>
        <w:rPr>
          <w:sz w:val="20"/>
          <w:szCs w:val="20"/>
          <w:lang w:val="en-US"/>
        </w:rPr>
      </w:pPr>
      <w:r w:rsidRPr="0019486F">
        <w:rPr>
          <w:sz w:val="20"/>
          <w:szCs w:val="20"/>
          <w:lang w:val="en-US"/>
        </w:rPr>
        <w:t xml:space="preserve">The student and the supervisors must agree on at timeline for the thesis, including major milestones and deadline for submission. The thesis work should be started in January-February at the latest (second study year) and the student should submit it for assessment at the end of June/July at the latest but following always the local rules of the two universities. </w:t>
      </w:r>
    </w:p>
    <w:p w:rsidR="0017002D" w:rsidRPr="0019486F" w:rsidRDefault="0017002D" w:rsidP="0019486F">
      <w:pPr>
        <w:pStyle w:val="Default"/>
        <w:rPr>
          <w:sz w:val="20"/>
          <w:szCs w:val="20"/>
          <w:lang w:val="en-US"/>
        </w:rPr>
      </w:pPr>
    </w:p>
    <w:p w:rsidR="0019486F" w:rsidRPr="0019486F" w:rsidRDefault="0019486F" w:rsidP="0019486F">
      <w:pPr>
        <w:pStyle w:val="Default"/>
        <w:rPr>
          <w:sz w:val="20"/>
          <w:szCs w:val="20"/>
          <w:lang w:val="en-US"/>
        </w:rPr>
      </w:pPr>
      <w:r w:rsidRPr="0019486F">
        <w:rPr>
          <w:b/>
          <w:bCs/>
          <w:sz w:val="20"/>
          <w:szCs w:val="20"/>
          <w:lang w:val="en-US"/>
        </w:rPr>
        <w:t xml:space="preserve">Assessment </w:t>
      </w:r>
    </w:p>
    <w:p w:rsidR="0019486F" w:rsidRPr="0019486F" w:rsidRDefault="0019486F" w:rsidP="0019486F">
      <w:pPr>
        <w:pStyle w:val="Default"/>
        <w:rPr>
          <w:sz w:val="20"/>
          <w:szCs w:val="20"/>
          <w:lang w:val="en-US"/>
        </w:rPr>
      </w:pPr>
      <w:r w:rsidRPr="0019486F">
        <w:rPr>
          <w:sz w:val="20"/>
          <w:szCs w:val="20"/>
          <w:lang w:val="en-US"/>
        </w:rPr>
        <w:t>It is a goal that the student is given one grade for the thesis. As the thesis assessment criteria differ between the respective institutions, it is recommended that the supervisors stay in close contact and discuss the assessment criteria extensively both when designing the thesis project and during the process. In addition, the possible effect of the presentation/</w:t>
      </w:r>
      <w:r w:rsidR="00B23318" w:rsidRPr="0019486F">
        <w:rPr>
          <w:sz w:val="20"/>
          <w:szCs w:val="20"/>
          <w:lang w:val="en-US"/>
        </w:rPr>
        <w:t>defense</w:t>
      </w:r>
      <w:r w:rsidRPr="0019486F">
        <w:rPr>
          <w:sz w:val="20"/>
          <w:szCs w:val="20"/>
          <w:lang w:val="en-US"/>
        </w:rPr>
        <w:t xml:space="preserve"> of the thesis must be taken into account. If there is a risk of a total rejection of the thesis, the student must be informed early enough so that the student has a possibility to improve the thesis before the final submission. </w:t>
      </w:r>
    </w:p>
    <w:p w:rsidR="0017002D" w:rsidRDefault="0017002D" w:rsidP="0019486F">
      <w:pPr>
        <w:pStyle w:val="Default"/>
        <w:rPr>
          <w:i/>
          <w:iCs/>
          <w:sz w:val="20"/>
          <w:szCs w:val="20"/>
          <w:lang w:val="en-US"/>
        </w:rPr>
      </w:pPr>
    </w:p>
    <w:p w:rsidR="0019486F" w:rsidRPr="006D1823" w:rsidRDefault="0019486F" w:rsidP="0019486F">
      <w:pPr>
        <w:pStyle w:val="Default"/>
        <w:rPr>
          <w:sz w:val="20"/>
          <w:szCs w:val="20"/>
          <w:lang w:val="en-US"/>
        </w:rPr>
      </w:pPr>
      <w:r w:rsidRPr="006D1823">
        <w:rPr>
          <w:i/>
          <w:iCs/>
          <w:sz w:val="20"/>
          <w:szCs w:val="20"/>
          <w:lang w:val="en-US"/>
        </w:rPr>
        <w:t xml:space="preserve">Presentation of thesis </w:t>
      </w:r>
    </w:p>
    <w:p w:rsidR="0019486F" w:rsidRPr="006D1823" w:rsidRDefault="0019486F" w:rsidP="0019486F">
      <w:pPr>
        <w:pStyle w:val="Default"/>
        <w:rPr>
          <w:sz w:val="20"/>
          <w:szCs w:val="20"/>
          <w:lang w:val="en-US"/>
        </w:rPr>
      </w:pPr>
      <w:r w:rsidRPr="006D1823">
        <w:rPr>
          <w:sz w:val="20"/>
          <w:szCs w:val="20"/>
          <w:lang w:val="en-US"/>
        </w:rPr>
        <w:t xml:space="preserve">Presentation of thesis must be done according to each partner university rules: </w:t>
      </w:r>
    </w:p>
    <w:p w:rsidR="0019486F" w:rsidRPr="006D1823" w:rsidRDefault="0019486F" w:rsidP="0019486F">
      <w:pPr>
        <w:pStyle w:val="Default"/>
        <w:rPr>
          <w:sz w:val="20"/>
          <w:szCs w:val="20"/>
          <w:lang w:val="en-US"/>
        </w:rPr>
      </w:pPr>
      <w:bookmarkStart w:id="0" w:name="_GoBack"/>
      <w:bookmarkEnd w:id="0"/>
      <w:r w:rsidRPr="006D1823">
        <w:rPr>
          <w:sz w:val="20"/>
          <w:szCs w:val="20"/>
          <w:lang w:val="en-US"/>
        </w:rPr>
        <w:t xml:space="preserve">• </w:t>
      </w:r>
      <w:proofErr w:type="spellStart"/>
      <w:r w:rsidR="00B23318" w:rsidRPr="006D1823">
        <w:rPr>
          <w:sz w:val="20"/>
          <w:szCs w:val="20"/>
          <w:lang w:val="en-US"/>
        </w:rPr>
        <w:t>UoI</w:t>
      </w:r>
      <w:proofErr w:type="spellEnd"/>
      <w:r w:rsidR="00B23318" w:rsidRPr="006D1823">
        <w:rPr>
          <w:sz w:val="20"/>
          <w:szCs w:val="20"/>
          <w:lang w:val="en-US"/>
        </w:rPr>
        <w:t>:</w:t>
      </w:r>
      <w:r w:rsidRPr="006D1823">
        <w:rPr>
          <w:sz w:val="20"/>
          <w:szCs w:val="20"/>
          <w:lang w:val="en-US"/>
        </w:rPr>
        <w:t xml:space="preserve"> </w:t>
      </w:r>
      <w:r w:rsidR="00B23318" w:rsidRPr="006D1823">
        <w:rPr>
          <w:sz w:val="20"/>
          <w:szCs w:val="20"/>
          <w:lang w:val="en-US"/>
        </w:rPr>
        <w:t>a thesis defense is required and counts towards the final grade. Can be done via adobe connect.</w:t>
      </w:r>
    </w:p>
    <w:p w:rsidR="0019486F" w:rsidRPr="006D1823" w:rsidRDefault="0019486F" w:rsidP="0019486F">
      <w:pPr>
        <w:pStyle w:val="Default"/>
        <w:rPr>
          <w:sz w:val="20"/>
          <w:szCs w:val="20"/>
          <w:lang w:val="en-US"/>
        </w:rPr>
      </w:pPr>
      <w:r w:rsidRPr="006D1823">
        <w:rPr>
          <w:sz w:val="20"/>
          <w:szCs w:val="20"/>
          <w:lang w:val="en-US"/>
        </w:rPr>
        <w:t xml:space="preserve">• DTU: a thesis </w:t>
      </w:r>
      <w:r w:rsidR="00B23318" w:rsidRPr="006D1823">
        <w:rPr>
          <w:sz w:val="20"/>
          <w:szCs w:val="20"/>
          <w:lang w:val="en-US"/>
        </w:rPr>
        <w:t>defense</w:t>
      </w:r>
      <w:r w:rsidRPr="006D1823">
        <w:rPr>
          <w:sz w:val="20"/>
          <w:szCs w:val="20"/>
          <w:lang w:val="en-US"/>
        </w:rPr>
        <w:t xml:space="preserve"> is required and counts towards the final grade. </w:t>
      </w:r>
      <w:r w:rsidR="00B23318" w:rsidRPr="006D1823">
        <w:rPr>
          <w:sz w:val="20"/>
          <w:szCs w:val="20"/>
          <w:lang w:val="en-US"/>
        </w:rPr>
        <w:t xml:space="preserve">Can be done via adobe connect. </w:t>
      </w:r>
    </w:p>
    <w:p w:rsidR="0019486F" w:rsidRPr="006D1823" w:rsidRDefault="0019486F" w:rsidP="0019486F">
      <w:pPr>
        <w:pStyle w:val="Default"/>
        <w:rPr>
          <w:sz w:val="20"/>
          <w:szCs w:val="20"/>
          <w:lang w:val="en-US"/>
        </w:rPr>
      </w:pPr>
      <w:r w:rsidRPr="006D1823">
        <w:rPr>
          <w:sz w:val="20"/>
          <w:szCs w:val="20"/>
          <w:lang w:val="en-US"/>
        </w:rPr>
        <w:t xml:space="preserve">• </w:t>
      </w:r>
      <w:r w:rsidR="00B23318" w:rsidRPr="006D1823">
        <w:rPr>
          <w:sz w:val="20"/>
          <w:szCs w:val="20"/>
          <w:lang w:val="en-US"/>
        </w:rPr>
        <w:t>NMBU</w:t>
      </w:r>
      <w:r w:rsidRPr="006D1823">
        <w:rPr>
          <w:sz w:val="20"/>
          <w:szCs w:val="20"/>
          <w:lang w:val="en-US"/>
        </w:rPr>
        <w:t xml:space="preserve">: </w:t>
      </w:r>
      <w:r w:rsidR="00B23318" w:rsidRPr="006D1823">
        <w:rPr>
          <w:sz w:val="20"/>
          <w:szCs w:val="20"/>
          <w:lang w:val="en-US"/>
        </w:rPr>
        <w:t>no presentation required</w:t>
      </w:r>
    </w:p>
    <w:p w:rsidR="0019486F" w:rsidRPr="0019486F" w:rsidRDefault="0019486F" w:rsidP="0019486F">
      <w:pPr>
        <w:pStyle w:val="Default"/>
        <w:rPr>
          <w:sz w:val="20"/>
          <w:szCs w:val="20"/>
          <w:lang w:val="en-US"/>
        </w:rPr>
      </w:pPr>
      <w:r w:rsidRPr="006D1823">
        <w:rPr>
          <w:sz w:val="20"/>
          <w:szCs w:val="20"/>
          <w:lang w:val="en-US"/>
        </w:rPr>
        <w:t>• NTNU: no presentation required</w:t>
      </w:r>
      <w:r w:rsidRPr="0019486F">
        <w:rPr>
          <w:sz w:val="20"/>
          <w:szCs w:val="20"/>
          <w:lang w:val="en-US"/>
        </w:rPr>
        <w:t xml:space="preserve"> </w:t>
      </w:r>
    </w:p>
    <w:p w:rsidR="0019486F" w:rsidRPr="0019486F" w:rsidRDefault="0019486F" w:rsidP="0019486F">
      <w:pPr>
        <w:pStyle w:val="Default"/>
        <w:rPr>
          <w:sz w:val="20"/>
          <w:szCs w:val="20"/>
          <w:lang w:val="en-US"/>
        </w:rPr>
      </w:pPr>
    </w:p>
    <w:p w:rsidR="0019486F" w:rsidRPr="0019486F" w:rsidRDefault="0019486F" w:rsidP="0017002D">
      <w:pPr>
        <w:pStyle w:val="Default"/>
        <w:rPr>
          <w:sz w:val="20"/>
          <w:szCs w:val="20"/>
          <w:lang w:val="en-US"/>
        </w:rPr>
      </w:pPr>
      <w:r w:rsidRPr="0019486F">
        <w:rPr>
          <w:sz w:val="20"/>
          <w:szCs w:val="20"/>
          <w:lang w:val="en-US"/>
        </w:rPr>
        <w:t>The timing of the presentation/</w:t>
      </w:r>
      <w:r w:rsidR="00B23318" w:rsidRPr="0019486F">
        <w:rPr>
          <w:sz w:val="20"/>
          <w:szCs w:val="20"/>
          <w:lang w:val="en-US"/>
        </w:rPr>
        <w:t>defense</w:t>
      </w:r>
      <w:r w:rsidRPr="0019486F">
        <w:rPr>
          <w:sz w:val="20"/>
          <w:szCs w:val="20"/>
          <w:lang w:val="en-US"/>
        </w:rPr>
        <w:t xml:space="preserve"> must be agreed on between the two supervisors and should normally take place in June</w:t>
      </w:r>
      <w:r w:rsidR="0099514D">
        <w:rPr>
          <w:sz w:val="20"/>
          <w:szCs w:val="20"/>
          <w:lang w:val="en-US"/>
        </w:rPr>
        <w:t>/July</w:t>
      </w:r>
      <w:r w:rsidRPr="0019486F">
        <w:rPr>
          <w:sz w:val="20"/>
          <w:szCs w:val="20"/>
          <w:lang w:val="en-US"/>
        </w:rPr>
        <w:t xml:space="preserve">. In cases with compulsory thesis </w:t>
      </w:r>
      <w:r w:rsidR="00B23318" w:rsidRPr="0019486F">
        <w:rPr>
          <w:sz w:val="20"/>
          <w:szCs w:val="20"/>
          <w:lang w:val="en-US"/>
        </w:rPr>
        <w:t>defense</w:t>
      </w:r>
      <w:r w:rsidRPr="0019486F">
        <w:rPr>
          <w:sz w:val="20"/>
          <w:szCs w:val="20"/>
          <w:lang w:val="en-US"/>
        </w:rPr>
        <w:t>, the partner university supervi</w:t>
      </w:r>
      <w:r w:rsidR="0017002D">
        <w:rPr>
          <w:sz w:val="20"/>
          <w:szCs w:val="20"/>
          <w:lang w:val="en-US"/>
        </w:rPr>
        <w:t xml:space="preserve">sor or assessor participates </w:t>
      </w:r>
      <w:r w:rsidRPr="0019486F">
        <w:rPr>
          <w:sz w:val="20"/>
          <w:szCs w:val="20"/>
          <w:lang w:val="en-US"/>
        </w:rPr>
        <w:t xml:space="preserve">must participate </w:t>
      </w:r>
      <w:r w:rsidR="0099514D">
        <w:rPr>
          <w:sz w:val="20"/>
          <w:szCs w:val="20"/>
          <w:lang w:val="en-US"/>
        </w:rPr>
        <w:t>in</w:t>
      </w:r>
      <w:r w:rsidRPr="0019486F">
        <w:rPr>
          <w:sz w:val="20"/>
          <w:szCs w:val="20"/>
          <w:lang w:val="en-US"/>
        </w:rPr>
        <w:t xml:space="preserve"> this </w:t>
      </w:r>
      <w:r w:rsidR="0099514D">
        <w:rPr>
          <w:sz w:val="20"/>
          <w:szCs w:val="20"/>
          <w:lang w:val="en-US"/>
        </w:rPr>
        <w:t xml:space="preserve">event </w:t>
      </w:r>
      <w:r w:rsidRPr="0019486F">
        <w:rPr>
          <w:sz w:val="20"/>
          <w:szCs w:val="20"/>
          <w:lang w:val="en-US"/>
        </w:rPr>
        <w:t xml:space="preserve">as the grade will often also be fixed in this occasion and the </w:t>
      </w:r>
      <w:r w:rsidR="00B23318" w:rsidRPr="0019486F">
        <w:rPr>
          <w:sz w:val="20"/>
          <w:szCs w:val="20"/>
          <w:lang w:val="en-US"/>
        </w:rPr>
        <w:t>defense</w:t>
      </w:r>
      <w:r w:rsidRPr="0019486F">
        <w:rPr>
          <w:sz w:val="20"/>
          <w:szCs w:val="20"/>
          <w:lang w:val="en-US"/>
        </w:rPr>
        <w:t xml:space="preserve"> itself will count in the overall assessment (e.g. 10%). In cases where it is not required to </w:t>
      </w:r>
      <w:r w:rsidR="0099514D">
        <w:rPr>
          <w:sz w:val="20"/>
          <w:szCs w:val="20"/>
          <w:lang w:val="en-US"/>
        </w:rPr>
        <w:t>perform</w:t>
      </w:r>
      <w:r w:rsidRPr="0019486F">
        <w:rPr>
          <w:sz w:val="20"/>
          <w:szCs w:val="20"/>
          <w:lang w:val="en-US"/>
        </w:rPr>
        <w:t xml:space="preserve"> a thesis presentation, a joint presentation must be </w:t>
      </w:r>
      <w:r w:rsidR="00B23318" w:rsidRPr="0019486F">
        <w:rPr>
          <w:sz w:val="20"/>
          <w:szCs w:val="20"/>
          <w:lang w:val="en-US"/>
        </w:rPr>
        <w:t>organized</w:t>
      </w:r>
      <w:r w:rsidRPr="0019486F">
        <w:rPr>
          <w:sz w:val="20"/>
          <w:szCs w:val="20"/>
          <w:lang w:val="en-US"/>
        </w:rPr>
        <w:t xml:space="preserve"> with the pa</w:t>
      </w:r>
      <w:r w:rsidR="0017002D">
        <w:rPr>
          <w:sz w:val="20"/>
          <w:szCs w:val="20"/>
          <w:lang w:val="en-US"/>
        </w:rPr>
        <w:t>rticipation of both supervisors and Adobe connect is used for practical reason</w:t>
      </w:r>
      <w:r w:rsidR="0099514D">
        <w:rPr>
          <w:sz w:val="20"/>
          <w:szCs w:val="20"/>
          <w:lang w:val="en-US"/>
        </w:rPr>
        <w:t>s</w:t>
      </w:r>
      <w:r w:rsidR="0017002D">
        <w:rPr>
          <w:sz w:val="20"/>
          <w:szCs w:val="20"/>
          <w:lang w:val="en-US"/>
        </w:rPr>
        <w:t xml:space="preserve">. </w:t>
      </w:r>
      <w:r w:rsidRPr="0019486F">
        <w:rPr>
          <w:sz w:val="20"/>
          <w:szCs w:val="20"/>
          <w:lang w:val="en-US"/>
        </w:rPr>
        <w:t xml:space="preserve"> </w:t>
      </w:r>
    </w:p>
    <w:p w:rsidR="0017002D" w:rsidRPr="0017002D" w:rsidRDefault="0017002D" w:rsidP="0019486F">
      <w:pPr>
        <w:pStyle w:val="Default"/>
        <w:rPr>
          <w:i/>
          <w:iCs/>
          <w:sz w:val="20"/>
          <w:szCs w:val="20"/>
          <w:lang w:val="en-US"/>
        </w:rPr>
      </w:pPr>
    </w:p>
    <w:p w:rsidR="0019486F" w:rsidRPr="0017002D" w:rsidRDefault="0019486F" w:rsidP="0019486F">
      <w:pPr>
        <w:pStyle w:val="Default"/>
        <w:rPr>
          <w:sz w:val="20"/>
          <w:szCs w:val="20"/>
          <w:lang w:val="en-US"/>
        </w:rPr>
      </w:pPr>
      <w:r w:rsidRPr="0017002D">
        <w:rPr>
          <w:i/>
          <w:iCs/>
          <w:sz w:val="20"/>
          <w:szCs w:val="20"/>
          <w:lang w:val="en-US"/>
        </w:rPr>
        <w:t xml:space="preserve">Assessment time </w:t>
      </w:r>
    </w:p>
    <w:p w:rsidR="00125BEC" w:rsidRPr="0017002D" w:rsidRDefault="0019486F" w:rsidP="0017002D">
      <w:pPr>
        <w:pStyle w:val="Default"/>
        <w:rPr>
          <w:sz w:val="20"/>
          <w:szCs w:val="20"/>
          <w:lang w:val="en-US"/>
        </w:rPr>
      </w:pPr>
      <w:r w:rsidRPr="0019486F">
        <w:rPr>
          <w:sz w:val="20"/>
          <w:szCs w:val="20"/>
          <w:lang w:val="en-US"/>
        </w:rPr>
        <w:t>The universities have different rules regarding timelines for thesis assessment. In order to comply with these differing rules, it is recommended to follow the shortest timeline of the two universities. The general rule is a maximum assessment time of two months after submission of the thesis</w:t>
      </w:r>
      <w:r w:rsidR="00657F41">
        <w:rPr>
          <w:sz w:val="20"/>
          <w:szCs w:val="20"/>
          <w:lang w:val="en-US"/>
        </w:rPr>
        <w:t>, but this has recently been changed at DTU</w:t>
      </w:r>
      <w:r w:rsidR="0099514D">
        <w:rPr>
          <w:sz w:val="20"/>
          <w:szCs w:val="20"/>
          <w:lang w:val="en-US"/>
        </w:rPr>
        <w:t xml:space="preserve"> (where it is now two weeks)</w:t>
      </w:r>
      <w:r w:rsidRPr="0019486F">
        <w:rPr>
          <w:sz w:val="20"/>
          <w:szCs w:val="20"/>
          <w:lang w:val="en-US"/>
        </w:rPr>
        <w:t>.This means that the assessment should be completed by mid-August</w:t>
      </w:r>
      <w:r w:rsidR="00657F41">
        <w:rPr>
          <w:sz w:val="20"/>
          <w:szCs w:val="20"/>
          <w:lang w:val="en-US"/>
        </w:rPr>
        <w:t xml:space="preserve">, but </w:t>
      </w:r>
      <w:r w:rsidR="00A121DC">
        <w:rPr>
          <w:sz w:val="20"/>
          <w:szCs w:val="20"/>
          <w:lang w:val="en-US"/>
        </w:rPr>
        <w:t>within 2 weeks after submission</w:t>
      </w:r>
      <w:r w:rsidR="00657F41">
        <w:rPr>
          <w:sz w:val="20"/>
          <w:szCs w:val="20"/>
          <w:lang w:val="en-US"/>
        </w:rPr>
        <w:t xml:space="preserve"> at DTU</w:t>
      </w:r>
      <w:r w:rsidRPr="0019486F">
        <w:rPr>
          <w:sz w:val="20"/>
          <w:szCs w:val="20"/>
          <w:lang w:val="en-US"/>
        </w:rPr>
        <w:t xml:space="preserve">. It is strongly recommended that the two supervisors of the thesis communicate and collaborate regularly with each other during the assessment period in the spirit of </w:t>
      </w:r>
      <w:r w:rsidR="0099514D">
        <w:rPr>
          <w:sz w:val="20"/>
          <w:szCs w:val="20"/>
          <w:lang w:val="en-US"/>
        </w:rPr>
        <w:t xml:space="preserve">the </w:t>
      </w:r>
      <w:proofErr w:type="spellStart"/>
      <w:r w:rsidR="0017002D">
        <w:rPr>
          <w:sz w:val="20"/>
          <w:szCs w:val="20"/>
          <w:lang w:val="en-US"/>
        </w:rPr>
        <w:t>AQFood</w:t>
      </w:r>
      <w:proofErr w:type="spellEnd"/>
      <w:r w:rsidRPr="0019486F">
        <w:rPr>
          <w:sz w:val="20"/>
          <w:szCs w:val="20"/>
          <w:lang w:val="en-US"/>
        </w:rPr>
        <w:t xml:space="preserve"> university alliance.</w:t>
      </w:r>
    </w:p>
    <w:sectPr w:rsidR="00125BEC" w:rsidRPr="0017002D">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6B7" w:rsidRDefault="005406B7" w:rsidP="0017002D">
      <w:pPr>
        <w:spacing w:after="0" w:line="240" w:lineRule="auto"/>
      </w:pPr>
      <w:r>
        <w:separator/>
      </w:r>
    </w:p>
  </w:endnote>
  <w:endnote w:type="continuationSeparator" w:id="0">
    <w:p w:rsidR="005406B7" w:rsidRDefault="005406B7" w:rsidP="00170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0050608"/>
      <w:docPartObj>
        <w:docPartGallery w:val="Page Numbers (Bottom of Page)"/>
        <w:docPartUnique/>
      </w:docPartObj>
    </w:sdtPr>
    <w:sdtEndPr>
      <w:rPr>
        <w:noProof/>
      </w:rPr>
    </w:sdtEndPr>
    <w:sdtContent>
      <w:p w:rsidR="00607399" w:rsidRDefault="00607399">
        <w:pPr>
          <w:pStyle w:val="Sidefod"/>
          <w:jc w:val="right"/>
        </w:pPr>
        <w:r>
          <w:fldChar w:fldCharType="begin"/>
        </w:r>
        <w:r>
          <w:instrText xml:space="preserve"> PAGE   \* MERGEFORMAT </w:instrText>
        </w:r>
        <w:r>
          <w:fldChar w:fldCharType="separate"/>
        </w:r>
        <w:r w:rsidR="00A9026B">
          <w:rPr>
            <w:noProof/>
          </w:rPr>
          <w:t>2</w:t>
        </w:r>
        <w:r>
          <w:rPr>
            <w:noProof/>
          </w:rPr>
          <w:fldChar w:fldCharType="end"/>
        </w:r>
      </w:p>
    </w:sdtContent>
  </w:sdt>
  <w:p w:rsidR="00607399" w:rsidRDefault="00607399">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6B7" w:rsidRDefault="005406B7" w:rsidP="0017002D">
      <w:pPr>
        <w:spacing w:after="0" w:line="240" w:lineRule="auto"/>
      </w:pPr>
      <w:r>
        <w:separator/>
      </w:r>
    </w:p>
  </w:footnote>
  <w:footnote w:type="continuationSeparator" w:id="0">
    <w:p w:rsidR="005406B7" w:rsidRDefault="005406B7" w:rsidP="0017002D">
      <w:pPr>
        <w:spacing w:after="0" w:line="240" w:lineRule="auto"/>
      </w:pPr>
      <w:r>
        <w:continuationSeparator/>
      </w:r>
    </w:p>
  </w:footnote>
  <w:footnote w:id="1">
    <w:p w:rsidR="0017002D" w:rsidRPr="0017002D" w:rsidRDefault="0017002D" w:rsidP="0017002D">
      <w:pPr>
        <w:pStyle w:val="Default"/>
        <w:rPr>
          <w:sz w:val="16"/>
          <w:szCs w:val="16"/>
          <w:lang w:val="en-US"/>
        </w:rPr>
      </w:pPr>
      <w:r>
        <w:rPr>
          <w:rStyle w:val="Fodnotehenvisning"/>
        </w:rPr>
        <w:footnoteRef/>
      </w:r>
      <w:r w:rsidRPr="0017002D">
        <w:rPr>
          <w:lang w:val="en-US"/>
        </w:rPr>
        <w:t xml:space="preserve"> </w:t>
      </w:r>
      <w:r w:rsidRPr="0017002D">
        <w:rPr>
          <w:sz w:val="16"/>
          <w:szCs w:val="16"/>
          <w:lang w:val="en-US"/>
        </w:rPr>
        <w:t xml:space="preserve">(Adapted from the Erasmus Mundus </w:t>
      </w:r>
      <w:proofErr w:type="spellStart"/>
      <w:r w:rsidRPr="0017002D">
        <w:rPr>
          <w:sz w:val="16"/>
          <w:szCs w:val="16"/>
          <w:lang w:val="en-US"/>
        </w:rPr>
        <w:t>programme</w:t>
      </w:r>
      <w:proofErr w:type="spellEnd"/>
      <w:r w:rsidRPr="0017002D">
        <w:rPr>
          <w:sz w:val="16"/>
          <w:szCs w:val="16"/>
          <w:lang w:val="en-US"/>
        </w:rPr>
        <w:t xml:space="preserve">, </w:t>
      </w:r>
      <w:proofErr w:type="spellStart"/>
      <w:r w:rsidRPr="0017002D">
        <w:rPr>
          <w:sz w:val="16"/>
          <w:szCs w:val="16"/>
          <w:lang w:val="en-US"/>
        </w:rPr>
        <w:t>NordSecMob</w:t>
      </w:r>
      <w:proofErr w:type="spellEnd"/>
      <w:r w:rsidRPr="0017002D">
        <w:rPr>
          <w:sz w:val="16"/>
          <w:szCs w:val="16"/>
          <w:lang w:val="en-US"/>
        </w:rPr>
        <w:t>, and N5T)</w:t>
      </w:r>
    </w:p>
    <w:p w:rsidR="0017002D" w:rsidRPr="0017002D" w:rsidRDefault="0017002D">
      <w:pPr>
        <w:pStyle w:val="Fodnoteteks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02D" w:rsidRDefault="0017002D">
    <w:pPr>
      <w:pStyle w:val="Sidehoved"/>
    </w:pPr>
    <w:r>
      <w:rPr>
        <w:noProof/>
        <w:lang w:eastAsia="da-DK"/>
      </w:rPr>
      <w:drawing>
        <wp:inline distT="0" distB="0" distL="0" distR="0" wp14:anchorId="0BAE4487" wp14:editId="3787934F">
          <wp:extent cx="593725" cy="807720"/>
          <wp:effectExtent l="0" t="0" r="0" b="0"/>
          <wp:docPr id="12" name="Picture 8" descr="AQFOO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QFOOD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725" cy="807720"/>
                  </a:xfrm>
                  <a:prstGeom prst="rect">
                    <a:avLst/>
                  </a:prstGeom>
                  <a:noFill/>
                  <a:ln>
                    <a:noFill/>
                  </a:ln>
                </pic:spPr>
              </pic:pic>
            </a:graphicData>
          </a:graphic>
        </wp:inline>
      </w:drawing>
    </w:r>
  </w:p>
  <w:p w:rsidR="0017002D" w:rsidRDefault="0017002D">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86F"/>
    <w:rsid w:val="00095CF1"/>
    <w:rsid w:val="00125BEC"/>
    <w:rsid w:val="00135B66"/>
    <w:rsid w:val="0017002D"/>
    <w:rsid w:val="0019486F"/>
    <w:rsid w:val="005406B7"/>
    <w:rsid w:val="00607399"/>
    <w:rsid w:val="00657F41"/>
    <w:rsid w:val="006D1823"/>
    <w:rsid w:val="0099514D"/>
    <w:rsid w:val="00A121DC"/>
    <w:rsid w:val="00A9026B"/>
    <w:rsid w:val="00B23318"/>
    <w:rsid w:val="00BE125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19486F"/>
    <w:pPr>
      <w:autoSpaceDE w:val="0"/>
      <w:autoSpaceDN w:val="0"/>
      <w:adjustRightInd w:val="0"/>
      <w:spacing w:after="0" w:line="240" w:lineRule="auto"/>
    </w:pPr>
    <w:rPr>
      <w:rFonts w:ascii="Arial" w:hAnsi="Arial" w:cs="Arial"/>
      <w:color w:val="000000"/>
      <w:sz w:val="24"/>
      <w:szCs w:val="24"/>
    </w:rPr>
  </w:style>
  <w:style w:type="paragraph" w:styleId="Sidehoved">
    <w:name w:val="header"/>
    <w:basedOn w:val="Normal"/>
    <w:link w:val="SidehovedTegn"/>
    <w:uiPriority w:val="99"/>
    <w:unhideWhenUsed/>
    <w:rsid w:val="0017002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7002D"/>
  </w:style>
  <w:style w:type="paragraph" w:styleId="Sidefod">
    <w:name w:val="footer"/>
    <w:basedOn w:val="Normal"/>
    <w:link w:val="SidefodTegn"/>
    <w:uiPriority w:val="99"/>
    <w:unhideWhenUsed/>
    <w:rsid w:val="0017002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7002D"/>
  </w:style>
  <w:style w:type="paragraph" w:styleId="Markeringsbobletekst">
    <w:name w:val="Balloon Text"/>
    <w:basedOn w:val="Normal"/>
    <w:link w:val="MarkeringsbobletekstTegn"/>
    <w:uiPriority w:val="99"/>
    <w:semiHidden/>
    <w:unhideWhenUsed/>
    <w:rsid w:val="0017002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7002D"/>
    <w:rPr>
      <w:rFonts w:ascii="Tahoma" w:hAnsi="Tahoma" w:cs="Tahoma"/>
      <w:sz w:val="16"/>
      <w:szCs w:val="16"/>
    </w:rPr>
  </w:style>
  <w:style w:type="paragraph" w:styleId="Fodnotetekst">
    <w:name w:val="footnote text"/>
    <w:basedOn w:val="Normal"/>
    <w:link w:val="FodnotetekstTegn"/>
    <w:uiPriority w:val="99"/>
    <w:semiHidden/>
    <w:unhideWhenUsed/>
    <w:rsid w:val="0017002D"/>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17002D"/>
    <w:rPr>
      <w:sz w:val="20"/>
      <w:szCs w:val="20"/>
    </w:rPr>
  </w:style>
  <w:style w:type="character" w:styleId="Fodnotehenvisning">
    <w:name w:val="footnote reference"/>
    <w:basedOn w:val="Standardskrifttypeiafsnit"/>
    <w:uiPriority w:val="99"/>
    <w:semiHidden/>
    <w:unhideWhenUsed/>
    <w:rsid w:val="0017002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19486F"/>
    <w:pPr>
      <w:autoSpaceDE w:val="0"/>
      <w:autoSpaceDN w:val="0"/>
      <w:adjustRightInd w:val="0"/>
      <w:spacing w:after="0" w:line="240" w:lineRule="auto"/>
    </w:pPr>
    <w:rPr>
      <w:rFonts w:ascii="Arial" w:hAnsi="Arial" w:cs="Arial"/>
      <w:color w:val="000000"/>
      <w:sz w:val="24"/>
      <w:szCs w:val="24"/>
    </w:rPr>
  </w:style>
  <w:style w:type="paragraph" w:styleId="Sidehoved">
    <w:name w:val="header"/>
    <w:basedOn w:val="Normal"/>
    <w:link w:val="SidehovedTegn"/>
    <w:uiPriority w:val="99"/>
    <w:unhideWhenUsed/>
    <w:rsid w:val="0017002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7002D"/>
  </w:style>
  <w:style w:type="paragraph" w:styleId="Sidefod">
    <w:name w:val="footer"/>
    <w:basedOn w:val="Normal"/>
    <w:link w:val="SidefodTegn"/>
    <w:uiPriority w:val="99"/>
    <w:unhideWhenUsed/>
    <w:rsid w:val="0017002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7002D"/>
  </w:style>
  <w:style w:type="paragraph" w:styleId="Markeringsbobletekst">
    <w:name w:val="Balloon Text"/>
    <w:basedOn w:val="Normal"/>
    <w:link w:val="MarkeringsbobletekstTegn"/>
    <w:uiPriority w:val="99"/>
    <w:semiHidden/>
    <w:unhideWhenUsed/>
    <w:rsid w:val="0017002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7002D"/>
    <w:rPr>
      <w:rFonts w:ascii="Tahoma" w:hAnsi="Tahoma" w:cs="Tahoma"/>
      <w:sz w:val="16"/>
      <w:szCs w:val="16"/>
    </w:rPr>
  </w:style>
  <w:style w:type="paragraph" w:styleId="Fodnotetekst">
    <w:name w:val="footnote text"/>
    <w:basedOn w:val="Normal"/>
    <w:link w:val="FodnotetekstTegn"/>
    <w:uiPriority w:val="99"/>
    <w:semiHidden/>
    <w:unhideWhenUsed/>
    <w:rsid w:val="0017002D"/>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17002D"/>
    <w:rPr>
      <w:sz w:val="20"/>
      <w:szCs w:val="20"/>
    </w:rPr>
  </w:style>
  <w:style w:type="character" w:styleId="Fodnotehenvisning">
    <w:name w:val="footnote reference"/>
    <w:basedOn w:val="Standardskrifttypeiafsnit"/>
    <w:uiPriority w:val="99"/>
    <w:semiHidden/>
    <w:unhideWhenUsed/>
    <w:rsid w:val="001700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0B526-B781-4636-AFBA-35155221F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841</Words>
  <Characters>5136</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DTU</Company>
  <LinksUpToDate>false</LinksUpToDate>
  <CharactersWithSpaces>5966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P. Baron</dc:creator>
  <cp:lastModifiedBy>Else Tranholm Mortensen</cp:lastModifiedBy>
  <cp:revision>2</cp:revision>
  <cp:lastPrinted>2016-04-14T06:58:00Z</cp:lastPrinted>
  <dcterms:created xsi:type="dcterms:W3CDTF">2018-02-14T12:08:00Z</dcterms:created>
  <dcterms:modified xsi:type="dcterms:W3CDTF">2018-02-14T12:08:00Z</dcterms:modified>
</cp:coreProperties>
</file>